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УТВЕРЖДЕН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Общим собранием членов ДНП «Удачное»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_____  от « ___ » _____ 2018  года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Регламент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принятия решений общего собрания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членов ДНП «Удачное» путем проведения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заочного голосования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dt>
      <w:sdtPr>
        <w:id w:val="-501043679"/>
        <w:docPartObj>
          <w:docPartGallery w:val="Table of Contents"/>
          <w:docPartUnique/>
        </w:docPartObj>
      </w:sdtPr>
      <w:sdtEndPr/>
      <w:sdtContent>
        <w:p w:rsidR="00DE7016" w:rsidRDefault="00544C81" w:rsidP="00B57E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/>
            <w:ind w:left="0" w:hanging="2"/>
            <w:rPr>
              <w:rFonts w:eastAsia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1. Общие положения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_gjdgxs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3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2. Формы заочного голосования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5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3. Порядок подготовки общего собрания в заочной форме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</w:instrText>
          </w:r>
          <w:r>
            <w:instrText xml:space="preserve">EREF _1fob9te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7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4. Порядок оповещения членов ДНП об общем собрании в заочной форме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_3znysh7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9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5. Порядок ознакомления членов Партнерства с документами и материалами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11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6. Порядок принятия от членов Партнерства предложений о включении в повестку дня дополнительных во</w:t>
          </w:r>
          <w:r>
            <w:rPr>
              <w:rFonts w:ascii="Times New Roman" w:hAnsi="Times New Roman"/>
              <w:color w:val="000000"/>
            </w:rPr>
            <w:t>просов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_tyjcwt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12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7. Формирование окончательного уведомления  о проведении заочного голосования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_3dy6vkm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13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8. Обсуждение вопросов заочного голосования.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_1t3h5sf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14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9. Определение моментов начала и окончания процедуры  заочного голосования.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_4d34og8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15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10. Голосование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_2s8eyo1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16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11. 11.</w:t>
          </w:r>
          <w:r>
            <w:rPr>
              <w:rFonts w:eastAsia="Calibri" w:cs="Calibri"/>
              <w:color w:val="000000"/>
            </w:rPr>
            <w:tab/>
          </w:r>
          <w:r>
            <w:rPr>
              <w:rFonts w:ascii="Times New Roman" w:hAnsi="Times New Roman"/>
              <w:color w:val="000000"/>
            </w:rPr>
            <w:t>Подсчет результатов заочного голосования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_17dp8vu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19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12. Подведение итогов заочного голосования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_3rdcrjn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20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13. Оформление решения общего собрания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_26in1rg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21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14. Заключительные положения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_lnxbz9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22</w:t>
          </w:r>
          <w:r>
            <w:fldChar w:fldCharType="end"/>
          </w:r>
        </w:p>
        <w:p w:rsidR="00DE7016" w:rsidRDefault="00544C81" w:rsidP="00B57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ind w:left="0" w:hanging="2"/>
            <w:rPr>
              <w:rFonts w:eastAsia="Calibri" w:cs="Calibri"/>
              <w:color w:val="000000"/>
            </w:rPr>
          </w:pPr>
          <w:r>
            <w:rPr>
              <w:rFonts w:ascii="Times New Roman" w:hAnsi="Times New Roman"/>
              <w:color w:val="000000"/>
            </w:rPr>
            <w:t>Приложение</w:t>
          </w:r>
          <w:r>
            <w:rPr>
              <w:rFonts w:eastAsia="Calibri" w:cs="Calibri"/>
              <w:color w:val="000000"/>
            </w:rPr>
            <w:tab/>
          </w:r>
          <w:r>
            <w:fldChar w:fldCharType="begin"/>
          </w:r>
          <w:r>
            <w:instrText xml:space="preserve"> PAGEREF _35nkun2 \h </w:instrText>
          </w:r>
          <w:r>
            <w:fldChar w:fldCharType="separate"/>
          </w:r>
          <w:r>
            <w:rPr>
              <w:rFonts w:eastAsia="Calibri" w:cs="Calibri"/>
              <w:color w:val="000000"/>
            </w:rPr>
            <w:t>23</w:t>
          </w:r>
          <w:r>
            <w:fldChar w:fldCharType="end"/>
          </w:r>
          <w:r>
            <w:fldChar w:fldCharType="end"/>
          </w:r>
        </w:p>
      </w:sdtContent>
    </w:sdt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eastAsia="Calibri" w:cs="Calibri"/>
          <w:color w:val="000000"/>
        </w:rPr>
      </w:pPr>
    </w:p>
    <w:sdt>
      <w:sdtPr>
        <w:id w:val="-1804911936"/>
        <w:docPartObj>
          <w:docPartGallery w:val="Table of Contents"/>
          <w:docPartUnique/>
        </w:docPartObj>
      </w:sdtPr>
      <w:sdtEndPr/>
      <w:sdtContent>
        <w:p w:rsidR="00DE7016" w:rsidRDefault="00544C81" w:rsidP="00B57E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eastAsia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end"/>
          </w:r>
        </w:p>
      </w:sdtContent>
    </w:sdt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:rsidR="00DE7016" w:rsidRDefault="00544C81" w:rsidP="00B57E1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регламент разработан в соответствии Федеральным законом от 15.04.1998 № 66-ФЗ «О садоводческих, огороднических и дачных некоммерческих объединениях граждан» (в ред. от 03.07.2016 г.), Уставом (далее – Устав) дачного некоммерческого партнерства «У</w:t>
      </w:r>
      <w:r>
        <w:rPr>
          <w:rFonts w:ascii="Times New Roman" w:hAnsi="Times New Roman"/>
          <w:color w:val="000000"/>
          <w:sz w:val="28"/>
          <w:szCs w:val="28"/>
        </w:rPr>
        <w:t>дачное» (далее – Партнерство) и определяет процедуру принятия решения общего собрания Партнерства, проводимого путем проведения заочного голосования (опросным путем).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Основные понятия, используемые в настоящем Регламенте:</w:t>
      </w:r>
    </w:p>
    <w:p w:rsidR="00DE7016" w:rsidRDefault="00544C81" w:rsidP="00B57E15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Заочное голосование –</w:t>
      </w:r>
      <w:r>
        <w:rPr>
          <w:rFonts w:ascii="Times New Roman" w:hAnsi="Times New Roman"/>
          <w:color w:val="000000"/>
          <w:sz w:val="28"/>
          <w:szCs w:val="28"/>
        </w:rPr>
        <w:t xml:space="preserve"> это собрание, проводимое без личной (и одновременной) явки членов Партнерства. Заочное голосование должны сопровождать все атрибуты общего собрания, которые в законе трактуются, как обязательные. </w:t>
      </w:r>
    </w:p>
    <w:p w:rsidR="00DE7016" w:rsidRDefault="00544C81" w:rsidP="00B57E15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Проведение заочного голосования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процесс, начинающий</w:t>
      </w:r>
      <w:r>
        <w:rPr>
          <w:rFonts w:ascii="Times New Roman" w:hAnsi="Times New Roman"/>
          <w:color w:val="000000"/>
          <w:sz w:val="28"/>
          <w:szCs w:val="28"/>
        </w:rPr>
        <w:t>ся с принятия решения о проведении общего собрания в заочной форме и заканчивающийся передачей членами Партнерства в устной или письменной форме своих решений по вопросам, ставящимся на голосование, в месте или по адресу, которые указаны в уведомлении о пр</w:t>
      </w:r>
      <w:r>
        <w:rPr>
          <w:rFonts w:ascii="Times New Roman" w:hAnsi="Times New Roman"/>
          <w:color w:val="000000"/>
          <w:sz w:val="28"/>
          <w:szCs w:val="28"/>
        </w:rPr>
        <w:t>оведении общего собрания в заочной форме. Регламент разработан в соответствии с гражданским законодательством Российской Федерации, ФЗ-66, Уставом ДНП «Удачное».</w:t>
      </w:r>
    </w:p>
    <w:p w:rsidR="00DE7016" w:rsidRDefault="00544C81" w:rsidP="00B57E15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Электронные контактные сведения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- адрес электронной почты, адрес учетной записи мессенджера\ с</w:t>
      </w:r>
      <w:r>
        <w:rPr>
          <w:rFonts w:ascii="Times New Roman" w:hAnsi="Times New Roman"/>
          <w:color w:val="000000"/>
          <w:sz w:val="28"/>
          <w:szCs w:val="28"/>
        </w:rPr>
        <w:t>оциальной сети, используемые для коммуникации органов Партнерства с членом Партнерства посредством сетей передачи информации.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Цели и задачи Регламента.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Настоящий Регламент разработан в целях упрощения процедуры принятия решений членами Партнерства по вопросам, выносимым на общее собрание и необходимых для функционирования ДНП «Удачное». Основными задачами Регламента в соответствии с целью являются следую</w:t>
      </w:r>
      <w:r>
        <w:rPr>
          <w:rFonts w:ascii="Times New Roman" w:hAnsi="Times New Roman"/>
          <w:color w:val="000000"/>
          <w:sz w:val="28"/>
          <w:szCs w:val="28"/>
        </w:rPr>
        <w:t xml:space="preserve">щие: </w:t>
      </w:r>
    </w:p>
    <w:p w:rsidR="00DE7016" w:rsidRDefault="00544C81" w:rsidP="00B57E1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максимально прозрачной системы голосования членов Партнерства по вопросам, необходимым для функционирования ДНП «Удачное»;</w:t>
      </w:r>
    </w:p>
    <w:p w:rsidR="00DE7016" w:rsidRDefault="00544C81" w:rsidP="00B57E1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и учет мнений максимального количества членов Партнерства по вопросам, ставящимся на голосование;</w:t>
      </w:r>
    </w:p>
    <w:p w:rsidR="00DE7016" w:rsidRDefault="00544C81" w:rsidP="00B57E1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особых мнений членов Партнерства по вопросам,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ставящимся на голосование;</w:t>
      </w:r>
    </w:p>
    <w:p w:rsidR="00DE7016" w:rsidRDefault="00544C81" w:rsidP="00B57E1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условий, обеспечивающих возможность каждого члена Партнерства ознакомиться со всеми документами и материалами по каждому вопросу, вынесенному на голосование, для формирования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объективной картины таких вопросов и принятия взвешенных решений.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Настоящий регламент определяет: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заочного голосования;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подготовки общего собрания в заочной форме;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оповещения членов ДНП «Удачное» об общем собрании в заочной форме и о повестке дня такого собрания;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ознакомления членов Партнерства с документами и материалами, необходимыми для принятия решений по вопросам, выносимым на голосование;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</w:t>
      </w:r>
      <w:r>
        <w:rPr>
          <w:rFonts w:ascii="Times New Roman" w:hAnsi="Times New Roman"/>
          <w:color w:val="000000"/>
          <w:sz w:val="28"/>
          <w:szCs w:val="28"/>
        </w:rPr>
        <w:t>к принятия от членов Партнерства предложений о включении в повестку дня дополнительных вопросов, порядок рассмотрения предложений;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Обсуждение вопросов заочного голосования;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окончательного уведомления о проведении заочного голосования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моментов начала и окончания процедуры заочного голосования;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Голосование. Требования, предъявляемые к бюллетеню для голосования;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Предварительные результаты заочного голосования;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Подведения итогов заочного голосования;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решения общего собрания;</w:t>
      </w:r>
    </w:p>
    <w:p w:rsidR="00DE7016" w:rsidRDefault="00544C81" w:rsidP="00B57E1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Заключительные положения.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всем остальном, что не урегулировано настоящим Регламентом, применяются нормы в соответствии с действующим законодательством РФ.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DE7016" w:rsidRDefault="00544C81" w:rsidP="00B57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Формы заочного голосования</w:t>
      </w:r>
    </w:p>
    <w:p w:rsidR="00DE7016" w:rsidRDefault="00DE7016" w:rsidP="00B57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30j0zll" w:colFirst="0" w:colLast="0"/>
      <w:bookmarkEnd w:id="1"/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Каждый член Партнерства выбирает для себя удобную форму заочного голосования:  электронное голосование, либо голосование по бюллетеню.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Электронное голосование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. Основным приоритетом заочного голосования является электронное голосование.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первоначально предоставленными электронными контактным сведениями членам ДНП «Удачное» рассылается бюллетень для голосования.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 Партнерства, желающий принять участие в электронном голосовании, распечатывает полученный бюллетень, заполняет, подписывает </w:t>
      </w:r>
      <w:r>
        <w:rPr>
          <w:rFonts w:ascii="Times New Roman" w:hAnsi="Times New Roman"/>
          <w:color w:val="000000"/>
          <w:sz w:val="28"/>
          <w:szCs w:val="28"/>
        </w:rPr>
        <w:t>и сканирует (фотографирует). Заполненный и отсканированный бюллетень отправляет по указанному адресу электронной почты, с указанием в теме письма следующих данных:</w:t>
      </w:r>
    </w:p>
    <w:p w:rsidR="00DE7016" w:rsidRDefault="00544C81" w:rsidP="00B57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«Заочное голосование»</w:t>
      </w:r>
    </w:p>
    <w:p w:rsidR="00DE7016" w:rsidRDefault="00544C81" w:rsidP="00B57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ФИО голосующего</w:t>
      </w:r>
    </w:p>
    <w:p w:rsidR="00DE7016" w:rsidRDefault="00544C81" w:rsidP="00B57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Номер дома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электронных контактных сведений содержится в реестре членов Партнерства. Первоначальное предоставление электронных контактных сведений членом Партнерства для внесения таких сведений в реестр является согласием указанного члена Партнерства на испол</w:t>
      </w:r>
      <w:r>
        <w:rPr>
          <w:rFonts w:ascii="Times New Roman" w:hAnsi="Times New Roman"/>
          <w:color w:val="000000"/>
          <w:sz w:val="28"/>
          <w:szCs w:val="28"/>
        </w:rPr>
        <w:t xml:space="preserve">ьзование предоставленных данных в целях, связанных с обеспечением деятельности Партнерства.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Партнерства обязуются при изменении их электронных контактных сведений - в срок не более чем 7 календарных дней довести информацию о таком изменении электрон</w:t>
      </w:r>
      <w:r>
        <w:rPr>
          <w:rFonts w:ascii="Times New Roman" w:hAnsi="Times New Roman"/>
          <w:color w:val="000000"/>
          <w:sz w:val="28"/>
          <w:szCs w:val="28"/>
        </w:rPr>
        <w:t>ных контактных сведений до одного из членов Правления Партнерства. В противном случае неучастие члена Партнерства в заочном голосовании по причине изменения электронных контактных сведений приравнивается к отказу от заочного голосования.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Голосование по бюллетеню.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Применяется в случае, если член Партнерства не имеет возможности принять участие в опросе посредством электронного голосования.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данном случае, после получения оповещения член Партнерства, желающий принять участие в голосовании,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 сообщить одному из членов Правления Партнерства о желании проголосовать по бюллетеню.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объявленный период голосования членам Партнерства, имеющим при себе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документы (паспорт и членская книжка), выдают бюллетень. Заполненный и подписанный бюллетень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Партнерства передают одному из членов Правления.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 Партнерства в объявленном периоде заочного голосования участвует один раз, согласно выбранной форме.</w:t>
      </w:r>
    </w:p>
    <w:p w:rsidR="00DE7016" w:rsidRDefault="00544C81" w:rsidP="00B57E1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Порядок подготовки общего собрания в заочной форме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2" w:name="_1fob9te" w:colFirst="0" w:colLast="0"/>
      <w:bookmarkEnd w:id="2"/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Заочное голосование проводится по решению Правления Партнерства.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Правление определяет перечень вопросов, которые ставятся на заочное голосование, разрабатывает документы, по которым будет проводиться голосование.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заочное голосование могут быть вынесены все вопросы к компетенции общего собрания, урегулированные Уставом, Федеральным Законом № 66 и действующим законодательством РФ, при условии соблюдения положений указанных нормативно-правовых актов о порядке вынес</w:t>
      </w:r>
      <w:r>
        <w:rPr>
          <w:rFonts w:ascii="Times New Roman" w:hAnsi="Times New Roman"/>
          <w:color w:val="000000"/>
          <w:sz w:val="28"/>
          <w:szCs w:val="28"/>
        </w:rPr>
        <w:t xml:space="preserve">ения данных вопросов на заочное голосование: </w:t>
      </w:r>
    </w:p>
    <w:p w:rsidR="00DE7016" w:rsidRDefault="00544C81" w:rsidP="00B57E1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внесение изменений в устав ДНП и дополнений к уставу или утверждение устава в новой редакции;</w:t>
      </w:r>
    </w:p>
    <w:p w:rsidR="00DE7016" w:rsidRDefault="00544C81" w:rsidP="00B57E1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в члены ДНП и исключение из его членов;</w:t>
      </w:r>
    </w:p>
    <w:p w:rsidR="00DE7016" w:rsidRDefault="00544C81" w:rsidP="00B57E1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решений об организации представительств, фонда взаимного кредитования, фонда проката, о его вступлении в ассоциации (союзы) садоводческих, огороднических или дачных некоммерческих объединений;</w:t>
      </w:r>
    </w:p>
    <w:p w:rsidR="00DE7016" w:rsidRDefault="00544C81" w:rsidP="00B57E1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внесение изменений и утверждение внутренних регламенто</w:t>
      </w:r>
      <w:r>
        <w:rPr>
          <w:rFonts w:ascii="Times New Roman" w:hAnsi="Times New Roman"/>
          <w:color w:val="000000"/>
          <w:sz w:val="28"/>
          <w:szCs w:val="28"/>
        </w:rPr>
        <w:t xml:space="preserve">в Партнерства, в том числе ведения общего собрания членов такого Партнерства (собрания уполномоченных); деятельности его правления; работы ревизионной комиссии (ревизора), а также других внутренних документов Партнерства; </w:t>
      </w:r>
    </w:p>
    <w:p w:rsidR="00DE7016" w:rsidRDefault="00544C81" w:rsidP="00B57E1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решений о формировании и</w:t>
      </w:r>
      <w:r>
        <w:rPr>
          <w:rFonts w:ascii="Times New Roman" w:hAnsi="Times New Roman"/>
          <w:color w:val="000000"/>
          <w:sz w:val="28"/>
          <w:szCs w:val="28"/>
        </w:rPr>
        <w:t xml:space="preserve"> об использовании имущества Партнерства, о создании и развитии объектов инфраструктуры, а также установление размеров целевых фондов и соответствующих взносов;</w:t>
      </w:r>
    </w:p>
    <w:p w:rsidR="00DE7016" w:rsidRDefault="00544C81" w:rsidP="00B57E1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установление размера пеней за несвоевременную уплату взносов, изменение сроков внесения взносов </w:t>
      </w:r>
      <w:r>
        <w:rPr>
          <w:rFonts w:ascii="Times New Roman" w:hAnsi="Times New Roman"/>
          <w:color w:val="000000"/>
          <w:sz w:val="28"/>
          <w:szCs w:val="28"/>
        </w:rPr>
        <w:t>малообеспеченными членами Партнерства;</w:t>
      </w:r>
    </w:p>
    <w:p w:rsidR="00DE7016" w:rsidRDefault="00544C81" w:rsidP="00B57E1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жалоб на решения и действия членов правления, председателя правления, членов ревизионной комиссии (ревизора), комиссии по соблюдению законодательства, а также лиц, являющихся наемными работниками Партнерс</w:t>
      </w:r>
      <w:r>
        <w:rPr>
          <w:rFonts w:ascii="Times New Roman" w:hAnsi="Times New Roman"/>
          <w:color w:val="000000"/>
          <w:sz w:val="28"/>
          <w:szCs w:val="28"/>
        </w:rPr>
        <w:t>тва;</w:t>
      </w:r>
    </w:p>
    <w:p w:rsidR="00DE7016" w:rsidRDefault="00544C81" w:rsidP="00B57E1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решения о приобретении земельного участка, относящегося к имуществу общего пользования, в собственность Партнерства.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Принятие решения о проведении общего собрания в заочной форме оформляется протоколом заседания Правления.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протокол, помимо повестки голосования, вносятся также все прочие решения, принятые Правлением для обеспечения проведения общего собрания в заочной форме:</w:t>
      </w:r>
    </w:p>
    <w:p w:rsidR="00DE7016" w:rsidRDefault="00544C81" w:rsidP="00B57E1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определяется срок, в течение которого необходимо подготовить первичное уведомление;</w:t>
      </w:r>
    </w:p>
    <w:p w:rsidR="00DE7016" w:rsidRDefault="00544C81" w:rsidP="00B57E1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определяется срок, в течение которого необходимо произвести размещение первичное уведомления;</w:t>
      </w:r>
    </w:p>
    <w:p w:rsidR="00DE7016" w:rsidRDefault="00544C81" w:rsidP="00B57E1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определяется состав сведений, которые должны содержаться в уведомлении;</w:t>
      </w:r>
    </w:p>
    <w:p w:rsidR="00DE7016" w:rsidRDefault="00544C81" w:rsidP="00B57E1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устанавливается персональный состав счетной комиссии;</w:t>
      </w:r>
    </w:p>
    <w:p w:rsidR="00DE7016" w:rsidRDefault="00544C81" w:rsidP="00B57E1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необходимости вносится решение о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размещении электронных копий материалов и документов на официальном сайте Партнерства для ознакомления членов Партнерства с содержанием указанных материалов и документов </w:t>
      </w:r>
    </w:p>
    <w:p w:rsidR="00DE7016" w:rsidRDefault="00544C81" w:rsidP="00B57E1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необходимости определяется перечень материалов и документов для размещения</w:t>
      </w:r>
    </w:p>
    <w:p w:rsidR="00DE7016" w:rsidRDefault="00544C81" w:rsidP="00B57E1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</w:t>
      </w:r>
      <w:r>
        <w:rPr>
          <w:rFonts w:ascii="Times New Roman" w:hAnsi="Times New Roman"/>
          <w:color w:val="000000"/>
          <w:sz w:val="28"/>
          <w:szCs w:val="28"/>
        </w:rPr>
        <w:t>еобходимости определяются сроки размещения материалов и документов для ознакомления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принятия решения о проведении общего собрания в заочной форме, Правление готовит уведомление о проведении общего собрания в заочной форме членов ДНП «Удачное».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Первичное уведомление подлежит опубликованию в срок не менее, чем за  30 календарных дней до даты начала голосования.</w:t>
      </w:r>
    </w:p>
    <w:p w:rsidR="00DE7016" w:rsidRDefault="00544C81" w:rsidP="00B57E1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Порядок оповещения членов ДНП «Удачное» об общем собрании в заочной форме и о повестке дня такого собрания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3" w:name="_3znysh7" w:colFirst="0" w:colLast="0"/>
      <w:bookmarkEnd w:id="3"/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Первичное уведомление о проведении общего собрания в заочной форме публикуется в сроки, определенные заседанием Правления (см. п.3.5., 3.6. настоящего регламента), с указанием: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повестки собрания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проведения собрания - заочное голосование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состава счетной комиссии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даты, времени начала и окончания приема предложений и дополнений по вопросам, изложенным в повестке собрания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сроков и перечня размещения дополнительных материалов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Первичное уведомление о проведении общего собрания в заочной форме в обязательном порядке публикуется на информационном стенде Партнерства и на официальном сайте Партнерства. Возможна, но не обязательна публикация уведомления и на других информационных рес</w:t>
      </w:r>
      <w:r>
        <w:rPr>
          <w:rFonts w:ascii="Times New Roman" w:hAnsi="Times New Roman"/>
          <w:color w:val="000000"/>
          <w:sz w:val="28"/>
          <w:szCs w:val="28"/>
        </w:rPr>
        <w:t xml:space="preserve">урсах. 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Окончательное уведомление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проведении общего собрания в заочной форме должно быть опубликовано на информационном стенде Партнерства (без размещения дополнительных материалов, но с отсылкой на официальный сайт Партнерства) и на официальном сайте Партнерства (со всеми дополнительным</w:t>
      </w:r>
      <w:r>
        <w:rPr>
          <w:rFonts w:ascii="Times New Roman" w:hAnsi="Times New Roman"/>
          <w:color w:val="000000"/>
          <w:sz w:val="28"/>
          <w:szCs w:val="28"/>
        </w:rPr>
        <w:t>и материалами) не менее чем за 14 дней до начала голосования, с указанием: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итоговой повестки собрания, с учетом поступивших предложений и указанием ФИО инициаторов предложений.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проведения собрания - заочное голосование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персонального состава счетной комиссии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даты, времени начала и окончания периода проведения заочного голосования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дат, когда возможно ознакомление с дополнительными материалами в помещении правления Партнерства.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адреса электронной почты, электронных контактн</w:t>
      </w:r>
      <w:r>
        <w:rPr>
          <w:rFonts w:ascii="Times New Roman" w:hAnsi="Times New Roman"/>
          <w:color w:val="000000"/>
          <w:sz w:val="28"/>
          <w:szCs w:val="28"/>
        </w:rPr>
        <w:t>ых сведений, на которые могут быть направлены сканы или фотографии заполненных бюллетеней для голосования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подсчета голосов счетной комиссией</w:t>
      </w:r>
    </w:p>
    <w:p w:rsidR="00DE7016" w:rsidRDefault="00544C81" w:rsidP="00B57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подведения итогов заочного голосования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DE7016" w:rsidP="00B5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размещении первичного и окончательного уведомлений доводится до членов Партнерства посредством СМС-информирования или рассылки на электронные контактные сведения. Рассылка информации о размещении должна быть произведена в течение 5 рабочих дне</w:t>
      </w:r>
      <w:r>
        <w:rPr>
          <w:rFonts w:ascii="Times New Roman" w:hAnsi="Times New Roman"/>
          <w:color w:val="000000"/>
          <w:sz w:val="28"/>
          <w:szCs w:val="28"/>
        </w:rPr>
        <w:t xml:space="preserve">й после публикации уведомлений. </w:t>
      </w:r>
    </w:p>
    <w:p w:rsidR="00DE7016" w:rsidRDefault="00544C81" w:rsidP="00B57E1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Порядок ознакомления членов Партнерства с документами и материалами, необходимыми для принятия решений по вопросам,  выносимым на голосование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4" w:name="_2et92p0" w:colFirst="0" w:colLast="0"/>
      <w:bookmarkEnd w:id="4"/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член Партнерства вправе индивидуально обратиться к Председателю ДНП «Удачное», либо к членам Правления с просьбой о разъяснении вопросов, внесенных в повестку дня, в том числе запросить дополнительные документы или материалы, соответствующие вопроса</w:t>
      </w:r>
      <w:r>
        <w:rPr>
          <w:rFonts w:ascii="Times New Roman" w:hAnsi="Times New Roman"/>
          <w:color w:val="000000"/>
          <w:sz w:val="28"/>
          <w:szCs w:val="28"/>
        </w:rPr>
        <w:t xml:space="preserve">м повестки дня, которые помогут члену Партнерства принять взвешенное объективное решение. 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запрашиваемых документов осуществляется различными способами: </w:t>
      </w:r>
    </w:p>
    <w:p w:rsidR="00DE7016" w:rsidRDefault="00544C81" w:rsidP="00B57E1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ознакомление с материалами на бумажном носителе в помещении Правления ДНП «Удачное»;</w:t>
      </w:r>
    </w:p>
    <w:p w:rsidR="00DE7016" w:rsidRDefault="00544C81" w:rsidP="00B57E1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размещением документов на официальном сайте Партнерства;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Получение информации путем телефонных звонков. Для разъяснения и уточнения необходимой информации  член Партнерства имеет право позвонить Председателю или члену Правления ДНП «Удачное»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и время получения документов для ознакомления. Ознакомление с материалами и документами на бумажном носителе  производится в помещении правления Партнерства, в даты и время, предусмотренные для приема Правлением членов ДНП </w:t>
      </w:r>
    </w:p>
    <w:p w:rsidR="00DE7016" w:rsidRDefault="00544C81" w:rsidP="00B57E1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Порядок принятия от члено</w:t>
      </w:r>
      <w:r>
        <w:rPr>
          <w:rFonts w:ascii="Times New Roman" w:hAnsi="Times New Roman"/>
          <w:b/>
          <w:color w:val="000000"/>
          <w:sz w:val="28"/>
          <w:szCs w:val="28"/>
        </w:rPr>
        <w:t>в Партнерства предложений о включении в повестку дня дополнительных вопросов. Порядок рассмотрения предложений.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5" w:name="_tyjcwt" w:colFirst="0" w:colLast="0"/>
      <w:bookmarkEnd w:id="5"/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член Партнерства имеет право в период с момента публикации первичного уведомления о проведении заочного голосования и до даты публикации окончательного уведомления  высказывать свое  мнение, замечание, предложение или дополнение по вопросам повестки</w:t>
      </w:r>
      <w:r>
        <w:rPr>
          <w:rFonts w:ascii="Times New Roman" w:hAnsi="Times New Roman"/>
          <w:color w:val="000000"/>
          <w:sz w:val="28"/>
          <w:szCs w:val="28"/>
        </w:rPr>
        <w:t xml:space="preserve"> дня и прикладываемым документам и материалам.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 Партнерства, решивший высказать свое  мнение, замечание, предложение или дополнение по вопросам заочного голосования, подает в Правление Партнерства соответствующее заявление на бумажном носителе – с ук</w:t>
      </w:r>
      <w:r>
        <w:rPr>
          <w:rFonts w:ascii="Times New Roman" w:hAnsi="Times New Roman"/>
          <w:color w:val="000000"/>
          <w:sz w:val="28"/>
          <w:szCs w:val="28"/>
        </w:rPr>
        <w:t>азанием своих персональных данных (см. п. 4.3.).</w:t>
      </w:r>
    </w:p>
    <w:p w:rsidR="00DE7016" w:rsidRDefault="00DE7016" w:rsidP="00B57E1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Формирование окончательного уведомления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проведении заочного голосования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6" w:name="_3dy6vkm" w:colFirst="0" w:colLast="0"/>
      <w:bookmarkEnd w:id="6"/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срок не позднее 14 календарных дней от даты завершения приема предложений и дополнений по вопросам, изложенным в повестке собрания (дата завершения указывается в первичном уведомлении), Правление Партнерства на своем заседании обязано рассмотреть все сде</w:t>
      </w:r>
      <w:r>
        <w:rPr>
          <w:rFonts w:ascii="Times New Roman" w:hAnsi="Times New Roman"/>
          <w:color w:val="000000"/>
          <w:sz w:val="28"/>
          <w:szCs w:val="28"/>
        </w:rPr>
        <w:t>ланные замечания, предложения и дополнения к повестке заочного голосования и\или документам.</w:t>
      </w: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Правление Партнерства в указанный срок обязано принять по дополнениям одно из решений: </w:t>
      </w:r>
    </w:p>
    <w:p w:rsidR="00DE7016" w:rsidRDefault="00544C81" w:rsidP="00B57E15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принять предложения или дополнения, изменить повестку и\или документы, согласно сделанному предложению или дополнению, </w:t>
      </w:r>
    </w:p>
    <w:p w:rsidR="00DE7016" w:rsidRDefault="00544C81" w:rsidP="00B57E15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отклонить предложения или дополнения, изменить повестку и\или документы, создав новую редакцию с учетом сделанных предложений, дополнени</w:t>
      </w:r>
      <w:r>
        <w:rPr>
          <w:rFonts w:ascii="Times New Roman" w:hAnsi="Times New Roman"/>
          <w:color w:val="000000"/>
          <w:sz w:val="28"/>
          <w:szCs w:val="28"/>
        </w:rPr>
        <w:t xml:space="preserve">й или замечаний. </w:t>
      </w:r>
    </w:p>
    <w:p w:rsidR="00DE7016" w:rsidRDefault="00544C81" w:rsidP="00B57E15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отклонить предложения или дополнения, оставить повестку и\или документы, без изменений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двух дней после даты заседания Правления Партнерства все одобренные изменения и дополнения должны быть внесены в повестку и\или в прилагаемы</w:t>
      </w:r>
      <w:r>
        <w:rPr>
          <w:rFonts w:ascii="Times New Roman" w:hAnsi="Times New Roman"/>
          <w:color w:val="000000"/>
          <w:sz w:val="28"/>
          <w:szCs w:val="28"/>
        </w:rPr>
        <w:t xml:space="preserve">е документы.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Сформированная повестка с приложением документов после рассмотрения замечаний, предложений и дополнений членов Партнерства является окончательной повесткой и должна быть включена в состав окончательного уведомления членам Партнерства в соотв</w:t>
      </w:r>
      <w:r>
        <w:rPr>
          <w:rFonts w:ascii="Times New Roman" w:hAnsi="Times New Roman"/>
          <w:color w:val="000000"/>
          <w:sz w:val="28"/>
          <w:szCs w:val="28"/>
        </w:rPr>
        <w:t xml:space="preserve">етствии с п.4.3 настоящего Регламента.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 членов Партнерства, поступившие после даты завершения приема предложений и дополнений по вопросам, изложенным в повестке собрания, не рассматриваются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Обсуждение вопросов заочного голосования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7" w:name="_1t3h5sf" w:colFirst="0" w:colLast="0"/>
      <w:bookmarkEnd w:id="7"/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Партнерства вправе обсуждать вопросы заочного голосования, высказывать свои замечания, предложения и дополнения к повестке голосования и к документам. Членам Правления надлежит учитывать содержание и итоги обсуждений, изложенных на страницах официаль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сайта Партнерства.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сутки до начала голосования и в период голосования в заочной форме запрещается любая агитация и навязывание своего личного мнения другим членам Партнерства (далее - Период тишины). Каждый член ДНП «Удачное» должен принять своё решение самостоятельно.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случае агитации и других действий, содержащих провокационный характер, на члена    Партнерства составляется акт о нарушении Периода тишины.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Распространение членами Партнерства заведомо ложной информации, служащей целью   склонить других членов ДНП «Удачн</w:t>
      </w:r>
      <w:r>
        <w:rPr>
          <w:rFonts w:ascii="Times New Roman" w:hAnsi="Times New Roman"/>
          <w:color w:val="000000"/>
          <w:sz w:val="28"/>
          <w:szCs w:val="28"/>
        </w:rPr>
        <w:t>ое» к принятию того или иного решения не допускается.</w:t>
      </w: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Распространителям заведомо ложной информации запрещается принимать участие в заочном голосовании. Результаты их голосования будут считаться недействительными.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 о нарушении периода тишины составляет комиссия, состоящая из членов Правления и Ревизионной комиссии. В доказательство выявленного нарушения прикладываются распечатанные сообщения в сети Интернет, либо свидетельские показания за подписью 2-х человек, к</w:t>
      </w:r>
      <w:r>
        <w:rPr>
          <w:rFonts w:ascii="Times New Roman" w:hAnsi="Times New Roman"/>
          <w:color w:val="000000"/>
          <w:sz w:val="28"/>
          <w:szCs w:val="28"/>
        </w:rPr>
        <w:t>оторые могут подтвердить факт проведения незаконной агитации среди членов Партнерства в период тишины.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Нарушителю Периода тишины запрещается принимать участие в заочном голосовании.    Результаты его голосования будут считаться недействительными.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нарушителей периода тишины по номерам участков  вывешивается на  информационном стенде ДНП «Удачное», а также на официальном сайте   Партнерства.</w:t>
      </w:r>
    </w:p>
    <w:p w:rsidR="00DE7016" w:rsidRDefault="00544C81" w:rsidP="00B57E1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Определение моментов начала и окончания процедуры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заочного голосования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8" w:name="_4d34og8" w:colFirst="0" w:colLast="0"/>
      <w:bookmarkEnd w:id="8"/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Заочное голосование  начинается с даты, которая указана в окончательном уведомлении о проведении общего собрания в заочной форме.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Заочное голосование  завершается в последний час даты, которая указана в окончательном уведомлении о проведении общего собрания в заочной форме.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Заочное голосование может быть продлено/ сокращено решением Правления путем установления новой даты завершени</w:t>
      </w:r>
      <w:r>
        <w:rPr>
          <w:rFonts w:ascii="Times New Roman" w:hAnsi="Times New Roman"/>
          <w:color w:val="000000"/>
          <w:sz w:val="28"/>
          <w:szCs w:val="28"/>
        </w:rPr>
        <w:t>я заочного голосования.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об этом публикуются:</w:t>
      </w:r>
    </w:p>
    <w:p w:rsidR="00DE7016" w:rsidRDefault="00544C81" w:rsidP="00B57E1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информационном стенде Партнерства</w:t>
      </w:r>
    </w:p>
    <w:p w:rsidR="00DE7016" w:rsidRDefault="00544C81" w:rsidP="00B57E1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официальном сайте Партнерства</w:t>
      </w:r>
    </w:p>
    <w:p w:rsidR="00DE7016" w:rsidRDefault="00544C81" w:rsidP="00B57E1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посредством СМС-информирования или рассылки на электронные контактные сведения.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Соответственно изменяются дата подсчета голосов и дата подведения итогов голосования.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Периодом проведения голосования считается срок от даты начала заочного голосования до даты окончания такого голосования, в течение которого члены Партнерства принимают решения по поставленным в бюллетене вопросам и представляют бюллетени в установленном на</w:t>
      </w:r>
      <w:r>
        <w:rPr>
          <w:rFonts w:ascii="Times New Roman" w:hAnsi="Times New Roman"/>
          <w:color w:val="000000"/>
          <w:sz w:val="28"/>
          <w:szCs w:val="28"/>
        </w:rPr>
        <w:t>стоящим Регламентом порядке.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Голосование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9" w:name="_2s8eyo1" w:colFirst="0" w:colLast="0"/>
      <w:bookmarkEnd w:id="9"/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Принявшими участие в общем собрании членов ДНП «Удачное», проводимом в заочной форме, считаются:</w:t>
      </w:r>
    </w:p>
    <w:p w:rsidR="00DE7016" w:rsidRDefault="00544C81" w:rsidP="00B57E15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Партнерства, подавшие бюллетени для голосования Председателю Правления, члену Правления, члену Ревизионной комиссии или члену Комиссии по соблюдению законодательства лично или через своих доверенных лиц; </w:t>
      </w:r>
    </w:p>
    <w:p w:rsidR="00DE7016" w:rsidRDefault="00544C81" w:rsidP="00B57E15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Партнерства, направившие отсканированны</w:t>
      </w:r>
      <w:r>
        <w:rPr>
          <w:rFonts w:ascii="Times New Roman" w:hAnsi="Times New Roman"/>
          <w:color w:val="000000"/>
          <w:sz w:val="28"/>
          <w:szCs w:val="28"/>
        </w:rPr>
        <w:t>й (сфотографированный) в цвете (не черно-белый) бюллетень для голосования в заочной форме на адрес электронной почты, указанный в окончательном уведомлении о проведении заочного голосования.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 Партнерства перед непосредственным принятием решений обязан ознакомиться со всеми документами и материалами, прикладываемыми к каждому вопросу повестки дня.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Голосование – это выражение воли члена Партнерства в принятом им решении,  основывающимся на </w:t>
      </w:r>
      <w:r>
        <w:rPr>
          <w:rFonts w:ascii="Times New Roman" w:hAnsi="Times New Roman"/>
          <w:color w:val="000000"/>
          <w:sz w:val="28"/>
          <w:szCs w:val="28"/>
        </w:rPr>
        <w:t>оценке материалов и документов, а также на мотивированном внутреннем убеждении, изложенное в виде указания в бюллетене для голосования позиции по вопросам повестки дня «За», «Против» или «Воздержался».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голосовании может участвовать только гражданин, являющийся членом ДНП «Удачное»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Допускается использование доверенностей при проведении заочного голосования. Доверенность должна быть завизирована Председателем Партнерства и передана Председателю Партнер</w:t>
      </w:r>
      <w:r>
        <w:rPr>
          <w:rFonts w:ascii="Times New Roman" w:hAnsi="Times New Roman"/>
          <w:color w:val="000000"/>
          <w:sz w:val="28"/>
          <w:szCs w:val="28"/>
        </w:rPr>
        <w:t>ства (для хранения) до начала периода голосования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голосования используется только бюллетени, изготовленные Правлением, на  официальном бланке ДНП «Удачное» или в электронном виде, высланном в индивидуальной рассылке при объявлении начала голосования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Бюллетень оформляется в электронной или печатной форме.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бюллетене в обязательном порядке содержатся решения по каждому вопросу повестки дня,   выраженные формулировками "за", "против" или "воздержался". При этом вопросы, поставленные на голосование, дол</w:t>
      </w:r>
      <w:r>
        <w:rPr>
          <w:rFonts w:ascii="Times New Roman" w:hAnsi="Times New Roman"/>
          <w:color w:val="000000"/>
          <w:sz w:val="28"/>
          <w:szCs w:val="28"/>
        </w:rPr>
        <w:t xml:space="preserve">жны быть сформулированы так, чтобы на них можно было дать однозначные ответы "за", "против" или "воздержался".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 Партнерства, участвующий в заочном голосовании, обязательно должен указать на бланке:</w:t>
      </w:r>
    </w:p>
    <w:p w:rsidR="00DE7016" w:rsidRDefault="00544C81" w:rsidP="00B57E1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фамилию, имя, отчество, </w:t>
      </w:r>
    </w:p>
    <w:p w:rsidR="00DE7016" w:rsidRDefault="00544C81" w:rsidP="00B57E1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паспортные данные, </w:t>
      </w:r>
    </w:p>
    <w:p w:rsidR="00DE7016" w:rsidRDefault="00544C81" w:rsidP="00B57E1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контактный телефон, </w:t>
      </w:r>
    </w:p>
    <w:p w:rsidR="00DE7016" w:rsidRDefault="00544C81" w:rsidP="00B57E1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номер участка, </w:t>
      </w:r>
    </w:p>
    <w:p w:rsidR="00DE7016" w:rsidRDefault="00544C81" w:rsidP="00B57E1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Персональные данные необходимы для достоверного подсчета голосов, они будут доступны счетной комиссии для обработки бюллетеней и контроля результатов заочного голосования.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Бюллетень для голосования  должен содержать пункт: «на обработку персональных данных согласен».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Если член Партнерства специально или случайно реализовал свое право голоса одновременно путем участия в нескольких формах голосования, принимается голосовани</w:t>
      </w:r>
      <w:r>
        <w:rPr>
          <w:rFonts w:ascii="Times New Roman" w:hAnsi="Times New Roman"/>
          <w:color w:val="000000"/>
          <w:sz w:val="28"/>
          <w:szCs w:val="28"/>
        </w:rPr>
        <w:t>е, дата совершения которого является последней. Бюллетень на бумажном носителе с подлинной подписью, полученный Партнерством, принимается независимо от даты его составления или представления в Партнерство в качестве приоритетного над всеми остальными источ</w:t>
      </w:r>
      <w:r>
        <w:rPr>
          <w:rFonts w:ascii="Times New Roman" w:hAnsi="Times New Roman"/>
          <w:color w:val="000000"/>
          <w:sz w:val="28"/>
          <w:szCs w:val="28"/>
        </w:rPr>
        <w:t xml:space="preserve">никами данных о голосовании члена Партнерства.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Любые нарушения по заполнению бюллетеня, выявленные счетной комиссией во время процесса голосования, являются основанием для признания  недействительным голоса по тому вопросу, позиция члена Партнерства по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которому («за», «против» или «воздержался») не может быть установлена. </w:t>
      </w:r>
    </w:p>
    <w:p w:rsidR="00DE7016" w:rsidRDefault="00DE7016" w:rsidP="00B57E1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Нарушения порядка голосования, порча бюллетеня, игнорирование или отказ от участия в голосовании рассматриваются как основания для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исключения участника из числа членов Партнерства. Список лиц,  в отношении которых зафиксированы вышеперечисленные действия,</w:t>
      </w:r>
      <w:r>
        <w:rPr>
          <w:rFonts w:ascii="Times New Roman" w:hAnsi="Times New Roman"/>
          <w:color w:val="000000"/>
          <w:sz w:val="28"/>
          <w:szCs w:val="28"/>
        </w:rPr>
        <w:t xml:space="preserve"> при проведении следующего собрания членов Партнерства, выносится на голосование по вопросу исключения указанных лиц из членов Партнерства. 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Объективно и беспристрастно процесс заочного голосования контролируют  независимые  наблюдатели.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Подсчет результатов заочного голосования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10" w:name="_17dp8vu" w:colFirst="0" w:colLast="0"/>
      <w:bookmarkEnd w:id="10"/>
      <w:r>
        <w:rPr>
          <w:rFonts w:ascii="Times New Roman" w:hAnsi="Times New Roman"/>
          <w:color w:val="000000"/>
          <w:sz w:val="28"/>
          <w:szCs w:val="28"/>
        </w:rPr>
        <w:tab/>
      </w: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Подсчет результатов голосования проводит счетная комиссия, включающая в себя членов Правления Партнерства, членов Ревизионной комиссии.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подсчета определяется в окончательном уведомлении о собрании, либо в решении заседания Правления Партнерства, если имело место изменение даты окончания голосования.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 выкладывают на официальном сайте Партнерства в виде таблицы,  содержащей данные о номере участка и варианте ответа - в течение 2 календарных дней от даты подсчета.</w:t>
      </w:r>
    </w:p>
    <w:p w:rsidR="00DE7016" w:rsidRDefault="00DE7016" w:rsidP="00B57E1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3 календарных дней от даты публикации результатов ожидаютс</w:t>
      </w:r>
      <w:r>
        <w:rPr>
          <w:rFonts w:ascii="Times New Roman" w:hAnsi="Times New Roman"/>
          <w:color w:val="000000"/>
          <w:sz w:val="28"/>
          <w:szCs w:val="28"/>
        </w:rPr>
        <w:t>я замечания от членов Партнерства - на предмет обнаружения недостоверной информации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 Партнерства в течение 3 календарных дней от даты публикации результатов  обязан проверить свои результаты голосования. В случае обнаружения недостоверной информации, </w:t>
      </w:r>
      <w:r>
        <w:rPr>
          <w:rFonts w:ascii="Times New Roman" w:hAnsi="Times New Roman"/>
          <w:color w:val="000000"/>
          <w:sz w:val="28"/>
          <w:szCs w:val="28"/>
        </w:rPr>
        <w:t>необходимо в обязательном порядке обратиться в счетную комиссию. Доказательством служит копия бюллетеня для голосования.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Счетная комиссия вносит поправки в результаты голосования и производит повторную публикацию данных.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Подведение итогов заочного голосования.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11" w:name="_3rdcrjn" w:colFirst="0" w:colLast="0"/>
      <w:bookmarkEnd w:id="11"/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 заочного голосования длится не менее 5 рабочих дней и определяется решением Правления Партнерства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Правомочность проведенного общего собрания в заочной форме определяется по количеству поданных бюллетеней. Общее собрание правомочно, если по итогам заочного голосования, поданы бюллетени более половины членов Партнерства.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Бюллетени заочного голосования,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поданные членами Партнерства после даты окончания заочного голосования, считаются недействительными.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Подсчет голосов по вопросам, вынесенным на заочное голосование, осуществляется счетной комиссией  на основании бюллетеней, поданных членами ДНП.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о внесении изменений в устав такого объединения и дополнений к его уставу или об утверждении устава в новой редакции, исключении из членов такого объединения, о его ликвидации и (или) реорганизации, назначении ликвидационной комиссии и об утвержден</w:t>
      </w:r>
      <w:r>
        <w:rPr>
          <w:rFonts w:ascii="Times New Roman" w:hAnsi="Times New Roman"/>
          <w:color w:val="000000"/>
          <w:sz w:val="28"/>
          <w:szCs w:val="28"/>
        </w:rPr>
        <w:t>ии промежуточного и окончательного ликвидационных балансов принимаются большинством в две трети голосов.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1ksv4uv" w:colFirst="0" w:colLast="0"/>
      <w:bookmarkEnd w:id="12"/>
      <w:r>
        <w:rPr>
          <w:rFonts w:ascii="Times New Roman" w:hAnsi="Times New Roman"/>
          <w:color w:val="000000"/>
          <w:sz w:val="28"/>
          <w:szCs w:val="28"/>
        </w:rPr>
        <w:t>Другие решения общего собрания в заочной форме членов Партнерства принимаются простым большинством голосов.</w:t>
      </w:r>
    </w:p>
    <w:p w:rsidR="00DE7016" w:rsidRDefault="00544C81" w:rsidP="00B57E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Оформление решения общего собрания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13" w:name="_26in1rg" w:colFirst="0" w:colLast="0"/>
      <w:bookmarkEnd w:id="13"/>
    </w:p>
    <w:p w:rsidR="00DE7016" w:rsidRDefault="00544C81" w:rsidP="00B57E15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заочного голосования составляется протокол об итогах заочного голосования, который подписывается счетной комиссией.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протоколе в обязательном порядке указываются дата и место подведения итогов заочного голосования, повестка дня, кворум.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составления протокола об итогах голосования и подписания его, бумажные бюллетени для заочного голосования опечатываются и передаются в Правление ДНП на хранение.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_44sinio" w:colFirst="0" w:colLast="0"/>
      <w:bookmarkEnd w:id="14"/>
      <w:r>
        <w:rPr>
          <w:rFonts w:ascii="Times New Roman" w:hAnsi="Times New Roman"/>
          <w:color w:val="000000"/>
          <w:sz w:val="28"/>
          <w:szCs w:val="28"/>
        </w:rPr>
        <w:t>Электронные бюллетени копируют на отдельный носитель информации. Электронные бюллетени</w:t>
      </w:r>
      <w:r>
        <w:rPr>
          <w:rFonts w:ascii="Times New Roman" w:hAnsi="Times New Roman"/>
          <w:color w:val="000000"/>
          <w:sz w:val="28"/>
          <w:szCs w:val="28"/>
        </w:rPr>
        <w:t xml:space="preserve"> распечатывают на бумажные носители, опечатывают и также передают в Правление Партнерства на хранение.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об итогах заочного голосования является документом, свидетельствующим о принятии решения Общим собранием членов Партнерства по вопросам, вынесе</w:t>
      </w:r>
      <w:r>
        <w:rPr>
          <w:rFonts w:ascii="Times New Roman" w:hAnsi="Times New Roman"/>
          <w:color w:val="000000"/>
          <w:sz w:val="28"/>
          <w:szCs w:val="28"/>
        </w:rPr>
        <w:t xml:space="preserve">нным на заочное голосование. 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общего собрания членов Партнерства в заочной форме доводятся до сведения его членов в течение семи дней после объявленной даты подведения итогов заочного голосования путем опубликования результатов заочного голосовани</w:t>
      </w:r>
      <w:r>
        <w:rPr>
          <w:rFonts w:ascii="Times New Roman" w:hAnsi="Times New Roman"/>
          <w:color w:val="000000"/>
          <w:sz w:val="28"/>
          <w:szCs w:val="28"/>
        </w:rPr>
        <w:t>я на информационном стенде Партнерства и на официальном сайте Партнерства.</w:t>
      </w:r>
    </w:p>
    <w:p w:rsidR="00DE7016" w:rsidRDefault="00544C81" w:rsidP="00B57E15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общего собрания является обязательным для всех членов Партнерства, в том числе для тех, которые независимо от причин не приняли участия в заочном голосовании.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b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Заключительные положения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15" w:name="_lnxbz9" w:colFirst="0" w:colLast="0"/>
      <w:bookmarkEnd w:id="15"/>
    </w:p>
    <w:p w:rsidR="00DE7016" w:rsidRDefault="00544C81" w:rsidP="00B57E15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и тексты бланков уведомления о проведении собрания, бюллетеня, доверенности, соответствующих протоколов принимаются и утверждаются на заседании Правления Партнерства.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016" w:rsidRDefault="00544C81" w:rsidP="00B57E15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несоответствия положений настоящего Регламента нормам Устава ДНП «Удачное», действуют нормы Устава ДНП «Удачное».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8"/>
          <w:szCs w:val="28"/>
        </w:rPr>
      </w:pPr>
      <w:bookmarkStart w:id="16" w:name="_35nkun2" w:colFirst="0" w:colLast="0"/>
      <w:bookmarkEnd w:id="16"/>
      <w:r>
        <w:br w:type="page"/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b/>
          <w:color w:val="000000"/>
          <w:sz w:val="24"/>
          <w:szCs w:val="24"/>
        </w:rPr>
      </w:pP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Примерная форма бюллетеня для голосования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E7016" w:rsidRDefault="00544C81" w:rsidP="00B57E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----------------------------------------------- начало формы--------------------------------------------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b/>
          <w:color w:val="000000"/>
          <w:sz w:val="24"/>
          <w:szCs w:val="24"/>
        </w:rPr>
      </w:pPr>
    </w:p>
    <w:p w:rsidR="00DE7016" w:rsidRDefault="00544C81" w:rsidP="00B57E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Бюллетень для голосования общего собрания членов ДНП «Удачное»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/>
          <w:color w:val="7030A0"/>
          <w:sz w:val="24"/>
          <w:szCs w:val="24"/>
        </w:rPr>
      </w:pPr>
    </w:p>
    <w:tbl>
      <w:tblPr>
        <w:tblStyle w:val="af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3092"/>
        <w:gridCol w:w="3316"/>
      </w:tblGrid>
      <w:tr w:rsidR="00DE7016">
        <w:trPr>
          <w:trHeight w:val="220"/>
        </w:trPr>
        <w:tc>
          <w:tcPr>
            <w:tcW w:w="3162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092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316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DE7016">
        <w:trPr>
          <w:trHeight w:val="300"/>
        </w:trPr>
        <w:tc>
          <w:tcPr>
            <w:tcW w:w="3162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016">
        <w:tc>
          <w:tcPr>
            <w:tcW w:w="3162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очереди</w:t>
            </w:r>
          </w:p>
        </w:tc>
        <w:tc>
          <w:tcPr>
            <w:tcW w:w="3092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участка</w:t>
            </w:r>
          </w:p>
        </w:tc>
        <w:tc>
          <w:tcPr>
            <w:tcW w:w="3316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голосования</w:t>
            </w:r>
          </w:p>
        </w:tc>
      </w:tr>
      <w:tr w:rsidR="00DE7016">
        <w:tc>
          <w:tcPr>
            <w:tcW w:w="3162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7016" w:rsidRDefault="00544C81" w:rsidP="00B57E15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 с «        »  по «       » </w:t>
      </w:r>
      <w:bookmarkStart w:id="17" w:name="_GoBack"/>
      <w:bookmarkEnd w:id="17"/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7016" w:rsidRDefault="00544C81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/>
        <w:ind w:left="0" w:hanging="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В выбранном варианте поставить «V»</w:t>
      </w:r>
    </w:p>
    <w:p w:rsidR="00DE7016" w:rsidRDefault="00DE7016" w:rsidP="00B5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/>
          <w:color w:val="7030A0"/>
          <w:sz w:val="24"/>
          <w:szCs w:val="24"/>
        </w:rPr>
      </w:pPr>
    </w:p>
    <w:tbl>
      <w:tblPr>
        <w:tblStyle w:val="af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227"/>
        <w:gridCol w:w="801"/>
        <w:gridCol w:w="1172"/>
        <w:gridCol w:w="1745"/>
      </w:tblGrid>
      <w:tr w:rsidR="00DE7016">
        <w:trPr>
          <w:trHeight w:val="300"/>
        </w:trPr>
        <w:tc>
          <w:tcPr>
            <w:tcW w:w="625" w:type="dxa"/>
            <w:vMerge w:val="restart"/>
            <w:vAlign w:val="center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7" w:type="dxa"/>
            <w:vMerge w:val="restart"/>
            <w:vAlign w:val="center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Повестка дня</w:t>
            </w:r>
          </w:p>
        </w:tc>
        <w:tc>
          <w:tcPr>
            <w:tcW w:w="3718" w:type="dxa"/>
            <w:gridSpan w:val="3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голосования</w:t>
            </w:r>
          </w:p>
        </w:tc>
      </w:tr>
      <w:tr w:rsidR="00DE7016">
        <w:trPr>
          <w:trHeight w:val="300"/>
        </w:trPr>
        <w:tc>
          <w:tcPr>
            <w:tcW w:w="625" w:type="dxa"/>
            <w:vMerge/>
            <w:vAlign w:val="center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7" w:type="dxa"/>
            <w:vMerge/>
            <w:vAlign w:val="center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"За"</w:t>
            </w:r>
          </w:p>
        </w:tc>
        <w:tc>
          <w:tcPr>
            <w:tcW w:w="1172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"Против"</w:t>
            </w:r>
          </w:p>
        </w:tc>
        <w:tc>
          <w:tcPr>
            <w:tcW w:w="1745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"Воздержался"</w:t>
            </w:r>
          </w:p>
        </w:tc>
      </w:tr>
      <w:tr w:rsidR="00DE7016">
        <w:trPr>
          <w:trHeight w:val="320"/>
        </w:trPr>
        <w:tc>
          <w:tcPr>
            <w:tcW w:w="625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5227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016">
        <w:trPr>
          <w:trHeight w:val="320"/>
        </w:trPr>
        <w:tc>
          <w:tcPr>
            <w:tcW w:w="625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5227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016">
        <w:trPr>
          <w:trHeight w:val="320"/>
        </w:trPr>
        <w:tc>
          <w:tcPr>
            <w:tcW w:w="625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5227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016">
        <w:trPr>
          <w:trHeight w:val="320"/>
        </w:trPr>
        <w:tc>
          <w:tcPr>
            <w:tcW w:w="625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5227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016">
        <w:trPr>
          <w:trHeight w:val="320"/>
        </w:trPr>
        <w:tc>
          <w:tcPr>
            <w:tcW w:w="625" w:type="dxa"/>
          </w:tcPr>
          <w:p w:rsidR="00DE7016" w:rsidRDefault="00544C81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5227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DE7016" w:rsidRDefault="00DE7016" w:rsidP="00B5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7016" w:rsidRDefault="00DE7016" w:rsidP="00B57E15">
      <w:pPr>
        <w:pBdr>
          <w:top w:val="nil"/>
          <w:left w:val="nil"/>
          <w:bottom w:val="nil"/>
          <w:right w:val="nil"/>
          <w:between w:val="nil"/>
        </w:pBdr>
        <w:spacing w:before="17"/>
        <w:ind w:left="0" w:hanging="2"/>
        <w:rPr>
          <w:rFonts w:ascii="Times New Roman" w:hAnsi="Times New Roman"/>
          <w:color w:val="000000"/>
          <w:sz w:val="20"/>
          <w:szCs w:val="20"/>
        </w:rPr>
      </w:pPr>
    </w:p>
    <w:p w:rsidR="00DE7016" w:rsidRDefault="00544C81" w:rsidP="00B57E15">
      <w:pPr>
        <w:pBdr>
          <w:top w:val="nil"/>
          <w:left w:val="nil"/>
          <w:bottom w:val="nil"/>
          <w:right w:val="nil"/>
          <w:between w:val="nil"/>
        </w:pBdr>
        <w:spacing w:before="17"/>
        <w:ind w:left="0" w:hanging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(На обработку персональных данных согласен)</w:t>
      </w:r>
    </w:p>
    <w:p w:rsidR="00DE7016" w:rsidRDefault="00DE7016" w:rsidP="00B57E1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7016" w:rsidRDefault="00544C81" w:rsidP="00B57E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(ФИО члена ДНП полностью и собственоручно, подпись, дата)</w:t>
      </w:r>
    </w:p>
    <w:p w:rsidR="00DE7016" w:rsidRDefault="00DE7016" w:rsidP="00B57E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7016" w:rsidRDefault="00544C81" w:rsidP="00B57E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------------------------------------------------ конец формы---------------------------------------------</w:t>
      </w:r>
    </w:p>
    <w:p w:rsidR="00DE7016" w:rsidRDefault="00DE7016" w:rsidP="00B57E15">
      <w:pPr>
        <w:pBdr>
          <w:top w:val="nil"/>
          <w:left w:val="nil"/>
          <w:bottom w:val="nil"/>
          <w:right w:val="nil"/>
          <w:between w:val="nil"/>
        </w:pBdr>
        <w:spacing w:before="16"/>
        <w:ind w:left="0" w:hanging="2"/>
        <w:rPr>
          <w:rFonts w:eastAsia="Calibri" w:cs="Calibri"/>
          <w:color w:val="000000"/>
          <w:sz w:val="20"/>
          <w:szCs w:val="20"/>
        </w:rPr>
      </w:pPr>
    </w:p>
    <w:p w:rsidR="00DE7016" w:rsidRDefault="00DE7016" w:rsidP="00DE7016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</w:p>
    <w:sectPr w:rsidR="00DE7016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81" w:rsidRDefault="00544C81" w:rsidP="00B57E1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44C81" w:rsidRDefault="00544C81" w:rsidP="00B57E1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81" w:rsidRDefault="00544C81" w:rsidP="00B57E1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44C81" w:rsidRDefault="00544C81" w:rsidP="00B57E1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16" w:rsidRDefault="00544C81" w:rsidP="00B57E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 w:rsidR="00B57E15">
      <w:rPr>
        <w:rFonts w:eastAsia="Calibri" w:cs="Calibri"/>
        <w:color w:val="000000"/>
      </w:rPr>
      <w:fldChar w:fldCharType="separate"/>
    </w:r>
    <w:r w:rsidR="00B57E15">
      <w:rPr>
        <w:rFonts w:eastAsia="Calibri" w:cs="Calibri"/>
        <w:noProof/>
        <w:color w:val="000000"/>
      </w:rPr>
      <w:t>21</w:t>
    </w:r>
    <w:r>
      <w:rPr>
        <w:rFonts w:eastAsia="Calibri" w:cs="Calibri"/>
        <w:color w:val="000000"/>
      </w:rPr>
      <w:fldChar w:fldCharType="end"/>
    </w:r>
  </w:p>
  <w:p w:rsidR="00DE7016" w:rsidRDefault="00544C81" w:rsidP="00B57E1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b/>
        <w:color w:val="000000"/>
        <w:sz w:val="18"/>
        <w:szCs w:val="18"/>
      </w:rPr>
      <w:t>Регламент  принятия решений общего собрания членов ДНП «Удачное» путем проведения заочного голосования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52"/>
    <w:multiLevelType w:val="multilevel"/>
    <w:tmpl w:val="3CA00EC2"/>
    <w:lvl w:ilvl="0">
      <w:start w:val="13"/>
      <w:numFmt w:val="decimal"/>
      <w:lvlText w:val="%1."/>
      <w:lvlJc w:val="left"/>
      <w:pPr>
        <w:ind w:left="26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061" w:hanging="43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493" w:hanging="503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501" w:hanging="791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vertAlign w:val="baseline"/>
      </w:rPr>
    </w:lvl>
  </w:abstractNum>
  <w:abstractNum w:abstractNumId="1">
    <w:nsid w:val="112D2842"/>
    <w:multiLevelType w:val="multilevel"/>
    <w:tmpl w:val="7284B8A4"/>
    <w:lvl w:ilvl="0">
      <w:start w:val="1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20366E92"/>
    <w:multiLevelType w:val="multilevel"/>
    <w:tmpl w:val="36829A38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>
    <w:nsid w:val="233E3B27"/>
    <w:multiLevelType w:val="multilevel"/>
    <w:tmpl w:val="2966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5253DC"/>
    <w:multiLevelType w:val="multilevel"/>
    <w:tmpl w:val="C98A50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3" w:hanging="431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29485A0D"/>
    <w:multiLevelType w:val="multilevel"/>
    <w:tmpl w:val="D65045B6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AAD56E3"/>
    <w:multiLevelType w:val="multilevel"/>
    <w:tmpl w:val="2B6AD650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2C89498B"/>
    <w:multiLevelType w:val="multilevel"/>
    <w:tmpl w:val="157A64BE"/>
    <w:lvl w:ilvl="0">
      <w:start w:val="1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2E5B04B2"/>
    <w:multiLevelType w:val="multilevel"/>
    <w:tmpl w:val="89E498B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52624B4"/>
    <w:multiLevelType w:val="multilevel"/>
    <w:tmpl w:val="756A086A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62C6510"/>
    <w:multiLevelType w:val="multilevel"/>
    <w:tmpl w:val="C5B67536"/>
    <w:lvl w:ilvl="0">
      <w:start w:val="2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3A227901"/>
    <w:multiLevelType w:val="multilevel"/>
    <w:tmpl w:val="C8DACDE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3A2675A1"/>
    <w:multiLevelType w:val="multilevel"/>
    <w:tmpl w:val="C71E80D8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2C9578A"/>
    <w:multiLevelType w:val="multilevel"/>
    <w:tmpl w:val="378ECB16"/>
    <w:lvl w:ilvl="0">
      <w:start w:val="9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4">
    <w:nsid w:val="47A01AF1"/>
    <w:multiLevelType w:val="multilevel"/>
    <w:tmpl w:val="7A8AA196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D2857CA"/>
    <w:multiLevelType w:val="multilevel"/>
    <w:tmpl w:val="48D6B5F0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F264403"/>
    <w:multiLevelType w:val="multilevel"/>
    <w:tmpl w:val="B2D2C22A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64802F1"/>
    <w:multiLevelType w:val="multilevel"/>
    <w:tmpl w:val="11B81470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C0358A6"/>
    <w:multiLevelType w:val="multilevel"/>
    <w:tmpl w:val="6686C12C"/>
    <w:lvl w:ilvl="0">
      <w:start w:val="1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8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016"/>
    <w:rsid w:val="00544C81"/>
    <w:rsid w:val="00B57E15"/>
    <w:rsid w:val="00D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1"/>
    <w:pPr>
      <w:jc w:val="center"/>
    </w:pPr>
    <w:rPr>
      <w:b/>
      <w:bCs/>
      <w:iCs/>
      <w:sz w:val="28"/>
    </w:rPr>
  </w:style>
  <w:style w:type="paragraph" w:styleId="a4">
    <w:name w:val="List Paragraph"/>
    <w:basedOn w:val="a"/>
    <w:pPr>
      <w:ind w:left="708"/>
    </w:p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6">
    <w:name w:val="Body Text"/>
    <w:basedOn w:val="a"/>
    <w:pPr>
      <w:spacing w:after="0" w:line="240" w:lineRule="auto"/>
      <w:jc w:val="center"/>
    </w:pPr>
    <w:rPr>
      <w:rFonts w:ascii="Times New Roman" w:hAnsi="Times New Roman"/>
      <w:sz w:val="24"/>
      <w:szCs w:val="18"/>
      <w:lang w:eastAsia="ru-RU"/>
    </w:rPr>
  </w:style>
  <w:style w:type="character" w:customStyle="1" w:styleId="a7">
    <w:name w:val="Основной текст Знак"/>
    <w:rPr>
      <w:w w:val="100"/>
      <w:position w:val="-1"/>
      <w:sz w:val="24"/>
      <w:szCs w:val="18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1">
    <w:name w:val="Body Text 2"/>
    <w:basedOn w:val="a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a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"/>
    <w:rPr>
      <w:sz w:val="20"/>
      <w:szCs w:val="20"/>
    </w:rPr>
  </w:style>
  <w:style w:type="character" w:customStyle="1" w:styleId="af0">
    <w:name w:val="Текст примечания Знак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rPr>
      <w:rFonts w:ascii="Calibri" w:hAnsi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numbering" w:customStyle="1" w:styleId="11">
    <w:name w:val="Стиль1"/>
  </w:style>
  <w:style w:type="numbering" w:customStyle="1" w:styleId="23">
    <w:name w:val="Стиль2"/>
  </w:style>
  <w:style w:type="numbering" w:customStyle="1" w:styleId="30">
    <w:name w:val="Стиль3"/>
  </w:style>
  <w:style w:type="numbering" w:customStyle="1" w:styleId="41">
    <w:name w:val="Стиль4"/>
  </w:style>
  <w:style w:type="table" w:styleId="af3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1"/>
    <w:pPr>
      <w:jc w:val="center"/>
    </w:pPr>
    <w:rPr>
      <w:b/>
      <w:bCs/>
      <w:iCs/>
      <w:sz w:val="28"/>
    </w:rPr>
  </w:style>
  <w:style w:type="paragraph" w:styleId="a4">
    <w:name w:val="List Paragraph"/>
    <w:basedOn w:val="a"/>
    <w:pPr>
      <w:ind w:left="708"/>
    </w:p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6">
    <w:name w:val="Body Text"/>
    <w:basedOn w:val="a"/>
    <w:pPr>
      <w:spacing w:after="0" w:line="240" w:lineRule="auto"/>
      <w:jc w:val="center"/>
    </w:pPr>
    <w:rPr>
      <w:rFonts w:ascii="Times New Roman" w:hAnsi="Times New Roman"/>
      <w:sz w:val="24"/>
      <w:szCs w:val="18"/>
      <w:lang w:eastAsia="ru-RU"/>
    </w:rPr>
  </w:style>
  <w:style w:type="character" w:customStyle="1" w:styleId="a7">
    <w:name w:val="Основной текст Знак"/>
    <w:rPr>
      <w:w w:val="100"/>
      <w:position w:val="-1"/>
      <w:sz w:val="24"/>
      <w:szCs w:val="18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1">
    <w:name w:val="Body Text 2"/>
    <w:basedOn w:val="a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a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"/>
    <w:rPr>
      <w:sz w:val="20"/>
      <w:szCs w:val="20"/>
    </w:rPr>
  </w:style>
  <w:style w:type="character" w:customStyle="1" w:styleId="af0">
    <w:name w:val="Текст примечания Знак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rPr>
      <w:rFonts w:ascii="Calibri" w:hAnsi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numbering" w:customStyle="1" w:styleId="11">
    <w:name w:val="Стиль1"/>
  </w:style>
  <w:style w:type="numbering" w:customStyle="1" w:styleId="23">
    <w:name w:val="Стиль2"/>
  </w:style>
  <w:style w:type="numbering" w:customStyle="1" w:styleId="30">
    <w:name w:val="Стиль3"/>
  </w:style>
  <w:style w:type="numbering" w:customStyle="1" w:styleId="41">
    <w:name w:val="Стиль4"/>
  </w:style>
  <w:style w:type="table" w:styleId="af3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3923</Words>
  <Characters>22362</Characters>
  <Application>Microsoft Office Word</Application>
  <DocSecurity>0</DocSecurity>
  <Lines>186</Lines>
  <Paragraphs>52</Paragraphs>
  <ScaleCrop>false</ScaleCrop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Потапов Олег Владимирович</cp:lastModifiedBy>
  <cp:revision>2</cp:revision>
  <dcterms:created xsi:type="dcterms:W3CDTF">2018-11-10T06:49:00Z</dcterms:created>
  <dcterms:modified xsi:type="dcterms:W3CDTF">2018-11-10T06:49:00Z</dcterms:modified>
</cp:coreProperties>
</file>